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3300"/>
  <w:body>
    <w:p w14:paraId="3B65E356" w14:textId="77777777" w:rsidR="00B95ABC" w:rsidRPr="00A4137F" w:rsidRDefault="002750B5" w:rsidP="005E1D6C">
      <w:pPr>
        <w:rPr>
          <w:color w:val="FFFFFF" w:themeColor="background1"/>
          <w:sz w:val="22"/>
          <w:szCs w:val="22"/>
        </w:rPr>
      </w:pPr>
      <w:r w:rsidRPr="00A4137F">
        <w:rPr>
          <w:noProof/>
          <w:color w:val="FFFFFF" w:themeColor="background1"/>
          <w:sz w:val="22"/>
          <w:szCs w:val="22"/>
        </w:rPr>
        <w:drawing>
          <wp:inline distT="0" distB="0" distL="0" distR="0" wp14:anchorId="66648DFE" wp14:editId="3AA84342">
            <wp:extent cx="5715000" cy="560260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18728" name="New Bitmap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8" cy="56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3295" w14:textId="77777777" w:rsidR="005E1D6C" w:rsidRPr="00A4137F" w:rsidRDefault="002750B5" w:rsidP="005E1D6C">
      <w:pPr>
        <w:pStyle w:val="Title1"/>
        <w:rPr>
          <w:rStyle w:val="EmphasizeItalicize"/>
          <w:color w:val="FFFFFF" w:themeColor="background1"/>
          <w:sz w:val="64"/>
          <w:szCs w:val="64"/>
        </w:rPr>
      </w:pPr>
      <w:r w:rsidRPr="00A4137F">
        <w:rPr>
          <w:rStyle w:val="EmphasizeItalicize"/>
          <w:color w:val="FFFFFF" w:themeColor="background1"/>
          <w:sz w:val="64"/>
          <w:szCs w:val="64"/>
        </w:rPr>
        <w:t xml:space="preserve">Five Points Bulletin: </w:t>
      </w:r>
    </w:p>
    <w:p w14:paraId="7DD45DE2" w14:textId="77777777" w:rsidR="00B95ABC" w:rsidRPr="00A4137F" w:rsidRDefault="002750B5" w:rsidP="005E1D6C">
      <w:pPr>
        <w:pStyle w:val="Title1"/>
        <w:rPr>
          <w:color w:val="FFFFFF" w:themeColor="background1"/>
          <w:sz w:val="64"/>
          <w:szCs w:val="64"/>
        </w:rPr>
      </w:pPr>
      <w:r w:rsidRPr="00A4137F">
        <w:rPr>
          <w:rStyle w:val="EmphasizeItalicize"/>
          <w:color w:val="FFFFFF" w:themeColor="background1"/>
          <w:sz w:val="64"/>
          <w:szCs w:val="64"/>
        </w:rPr>
        <w:t>Pension Lump-Sum Buyout Offers</w:t>
      </w:r>
    </w:p>
    <w:p w14:paraId="5722AC8C" w14:textId="77777777" w:rsidR="00B95ABC" w:rsidRPr="00A4137F" w:rsidRDefault="002750B5" w:rsidP="005E1D6C">
      <w:pPr>
        <w:pStyle w:val="IntenseQuote"/>
        <w:rPr>
          <w:color w:val="FFFFFF" w:themeColor="background1"/>
          <w:sz w:val="36"/>
          <w:szCs w:val="36"/>
        </w:rPr>
      </w:pPr>
      <w:r w:rsidRPr="00A4137F">
        <w:rPr>
          <w:rStyle w:val="Strong1"/>
          <w:color w:val="FFFFFF" w:themeColor="background1"/>
          <w:sz w:val="36"/>
          <w:szCs w:val="36"/>
        </w:rPr>
        <w:t xml:space="preserve">Talking Points </w:t>
      </w:r>
      <w:r w:rsidR="003F6E3B" w:rsidRPr="00A4137F">
        <w:rPr>
          <w:rStyle w:val="Strong1"/>
          <w:color w:val="FFFFFF" w:themeColor="background1"/>
          <w:sz w:val="36"/>
          <w:szCs w:val="36"/>
        </w:rPr>
        <w:t>for</w:t>
      </w:r>
      <w:r w:rsidRPr="00A4137F">
        <w:rPr>
          <w:rStyle w:val="Strong1"/>
          <w:color w:val="FFFFFF" w:themeColor="background1"/>
          <w:sz w:val="36"/>
          <w:szCs w:val="36"/>
        </w:rPr>
        <w:t xml:space="preserve"> Managers of Employees </w:t>
      </w:r>
      <w:r w:rsidR="003F6E3B" w:rsidRPr="00A4137F">
        <w:rPr>
          <w:rStyle w:val="Strong1"/>
          <w:color w:val="FFFFFF" w:themeColor="background1"/>
          <w:sz w:val="36"/>
          <w:szCs w:val="36"/>
        </w:rPr>
        <w:t>w</w:t>
      </w:r>
      <w:r w:rsidRPr="00A4137F">
        <w:rPr>
          <w:rStyle w:val="Strong1"/>
          <w:color w:val="FFFFFF" w:themeColor="background1"/>
          <w:sz w:val="36"/>
          <w:szCs w:val="36"/>
        </w:rPr>
        <w:t>ith</w:t>
      </w:r>
      <w:r w:rsidR="005E1D6C" w:rsidRPr="00A4137F">
        <w:rPr>
          <w:rStyle w:val="Strong1"/>
          <w:color w:val="FFFFFF" w:themeColor="background1"/>
          <w:sz w:val="36"/>
          <w:szCs w:val="36"/>
        </w:rPr>
        <w:t xml:space="preserve"> </w:t>
      </w:r>
      <w:r w:rsidR="003F6E3B" w:rsidRPr="00A4137F">
        <w:rPr>
          <w:rStyle w:val="Strong1"/>
          <w:color w:val="FFFFFF" w:themeColor="background1"/>
          <w:sz w:val="36"/>
          <w:szCs w:val="36"/>
        </w:rPr>
        <w:t>a</w:t>
      </w:r>
      <w:r w:rsidRPr="00A4137F">
        <w:rPr>
          <w:rStyle w:val="Strong1"/>
          <w:color w:val="FFFFFF" w:themeColor="background1"/>
          <w:sz w:val="36"/>
          <w:szCs w:val="36"/>
        </w:rPr>
        <w:t xml:space="preserve"> Defined Benefit Pension Lump-Sum Offer</w:t>
      </w:r>
    </w:p>
    <w:p w14:paraId="68426407" w14:textId="77777777" w:rsidR="00765344" w:rsidRDefault="002750B5">
      <w:pPr>
        <w:rPr>
          <w:rStyle w:val="EmphasizeItalicize"/>
          <w:color w:val="FFFFFF" w:themeColor="background1"/>
          <w:sz w:val="40"/>
          <w:szCs w:val="40"/>
        </w:rPr>
      </w:pPr>
      <w:r>
        <w:rPr>
          <w:rStyle w:val="EmphasizeItalicize"/>
          <w:color w:val="FFFFFF" w:themeColor="background1"/>
          <w:sz w:val="40"/>
          <w:szCs w:val="40"/>
        </w:rPr>
        <w:br w:type="page"/>
      </w:r>
    </w:p>
    <w:p w14:paraId="56045355" w14:textId="77777777" w:rsidR="00B95ABC" w:rsidRDefault="002750B5" w:rsidP="00B177CD">
      <w:pPr>
        <w:pStyle w:val="Heading10"/>
        <w:spacing w:before="0" w:after="0"/>
        <w:rPr>
          <w:rStyle w:val="EmphasizeItalicize"/>
          <w:color w:val="FFFFFF" w:themeColor="background1"/>
          <w:sz w:val="40"/>
          <w:szCs w:val="40"/>
        </w:rPr>
      </w:pPr>
      <w:r w:rsidRPr="00A4137F">
        <w:rPr>
          <w:rStyle w:val="EmphasizeItalicize"/>
          <w:color w:val="FFFFFF" w:themeColor="background1"/>
          <w:sz w:val="40"/>
          <w:szCs w:val="40"/>
        </w:rPr>
        <w:lastRenderedPageBreak/>
        <w:t xml:space="preserve">#1: 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It’s Called De-Risking </w:t>
      </w:r>
      <w:r w:rsidR="003F6E3B" w:rsidRPr="00A4137F">
        <w:rPr>
          <w:rStyle w:val="EmphasizeItalicize"/>
          <w:color w:val="FFFFFF" w:themeColor="background1"/>
          <w:sz w:val="40"/>
          <w:szCs w:val="40"/>
        </w:rPr>
        <w:t>for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 A Reason!</w:t>
      </w:r>
    </w:p>
    <w:p w14:paraId="7EFDC834" w14:textId="77777777" w:rsidR="00765344" w:rsidRPr="00765344" w:rsidRDefault="00765344" w:rsidP="00765344">
      <w:pPr>
        <w:pStyle w:val="Normal1"/>
      </w:pPr>
    </w:p>
    <w:p w14:paraId="68F67B68" w14:textId="77777777" w:rsidR="00B95ABC" w:rsidRPr="00A4137F" w:rsidRDefault="002750B5" w:rsidP="002F36D2">
      <w:pPr>
        <w:rPr>
          <w:color w:val="FFFFFF" w:themeColor="background1"/>
          <w:sz w:val="32"/>
          <w:szCs w:val="32"/>
        </w:rPr>
      </w:pPr>
      <w:r w:rsidRPr="00A4137F">
        <w:rPr>
          <w:noProof/>
          <w:color w:val="FFFFFF" w:themeColor="background1"/>
          <w:sz w:val="32"/>
          <w:szCs w:val="32"/>
        </w:rPr>
        <w:drawing>
          <wp:inline distT="0" distB="0" distL="0" distR="0" wp14:anchorId="642909B9" wp14:editId="1566FABE">
            <wp:extent cx="5695950" cy="2560955"/>
            <wp:effectExtent l="19050" t="19050" r="0" b="0"/>
            <wp:docPr id="2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2194" name="New Bitmap 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60955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2E9432F" w14:textId="77777777" w:rsidR="00943141" w:rsidRPr="00A4137F" w:rsidRDefault="002750B5" w:rsidP="009233DB">
      <w:pPr>
        <w:pStyle w:val="IntenseQuote"/>
        <w:numPr>
          <w:ilvl w:val="0"/>
          <w:numId w:val="1"/>
        </w:numPr>
        <w:spacing w:before="0" w:after="0"/>
        <w:jc w:val="left"/>
        <w:rPr>
          <w:rStyle w:val="Strong1"/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Lump-sum = transfer of longevity risk</w:t>
      </w:r>
    </w:p>
    <w:p w14:paraId="59C34C52" w14:textId="77777777" w:rsidR="00943141" w:rsidRPr="00A4137F" w:rsidRDefault="002750B5" w:rsidP="009233DB">
      <w:pPr>
        <w:pStyle w:val="IntenseQuote"/>
        <w:numPr>
          <w:ilvl w:val="1"/>
          <w:numId w:val="1"/>
        </w:numPr>
        <w:spacing w:before="0" w:after="0"/>
        <w:jc w:val="left"/>
        <w:rPr>
          <w:b/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From pension fund to </w:t>
      </w:r>
      <w:r w:rsidRPr="00A4137F">
        <w:rPr>
          <w:rStyle w:val="Emphasis1"/>
          <w:color w:val="FFFFFF" w:themeColor="background1"/>
          <w:sz w:val="32"/>
          <w:szCs w:val="32"/>
        </w:rPr>
        <w:t>individual</w:t>
      </w:r>
    </w:p>
    <w:p w14:paraId="3453D55C" w14:textId="77777777" w:rsidR="00943141" w:rsidRPr="00A4137F" w:rsidRDefault="002750B5" w:rsidP="009233DB">
      <w:pPr>
        <w:pStyle w:val="IntenseQuote"/>
        <w:numPr>
          <w:ilvl w:val="1"/>
          <w:numId w:val="1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Longevity risk = outliving money in retirement</w:t>
      </w:r>
    </w:p>
    <w:p w14:paraId="0F2CEFA9" w14:textId="77777777" w:rsidR="00943141" w:rsidRPr="00A4137F" w:rsidRDefault="002750B5" w:rsidP="009233DB">
      <w:pPr>
        <w:pStyle w:val="IntenseQuote"/>
        <w:numPr>
          <w:ilvl w:val="1"/>
          <w:numId w:val="1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Essential understanding for employees</w:t>
      </w:r>
    </w:p>
    <w:p w14:paraId="49F2D393" w14:textId="77777777" w:rsidR="00B95ABC" w:rsidRPr="00A4137F" w:rsidRDefault="002750B5" w:rsidP="009233DB">
      <w:pPr>
        <w:pStyle w:val="IntenseQuote"/>
        <w:numPr>
          <w:ilvl w:val="0"/>
          <w:numId w:val="1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Pension Risk Transfer (PRT) = transfer of annuity obligations</w:t>
      </w:r>
    </w:p>
    <w:p w14:paraId="03AB9C8D" w14:textId="77777777" w:rsidR="00B95ABC" w:rsidRPr="00A4137F" w:rsidRDefault="002750B5" w:rsidP="009233DB">
      <w:pPr>
        <w:pStyle w:val="IntenseQuote"/>
        <w:numPr>
          <w:ilvl w:val="1"/>
          <w:numId w:val="1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From pension fund to insurance company</w:t>
      </w:r>
    </w:p>
    <w:p w14:paraId="69A18125" w14:textId="77777777" w:rsidR="00B95ABC" w:rsidRDefault="002750B5" w:rsidP="009233DB">
      <w:pPr>
        <w:pStyle w:val="IntenseQuote"/>
        <w:numPr>
          <w:ilvl w:val="0"/>
          <w:numId w:val="1"/>
        </w:numPr>
        <w:spacing w:before="0" w:after="0"/>
        <w:jc w:val="left"/>
        <w:rPr>
          <w:rStyle w:val="Strong1"/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Companies de-risk because pensions are expensive and compli</w:t>
      </w:r>
      <w:r w:rsidRPr="00A4137F">
        <w:rPr>
          <w:rStyle w:val="Strong1"/>
          <w:color w:val="FFFFFF" w:themeColor="background1"/>
          <w:sz w:val="32"/>
          <w:szCs w:val="32"/>
        </w:rPr>
        <w:t>cated</w:t>
      </w:r>
    </w:p>
    <w:p w14:paraId="73E463EC" w14:textId="77777777" w:rsidR="00F67A87" w:rsidRPr="00F67A87" w:rsidRDefault="002750B5" w:rsidP="00F67A87">
      <w:pPr>
        <w:pStyle w:val="Normal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DFA28" wp14:editId="6F628DAC">
            <wp:simplePos x="0" y="0"/>
            <wp:positionH relativeFrom="column">
              <wp:posOffset>20320</wp:posOffset>
            </wp:positionH>
            <wp:positionV relativeFrom="paragraph">
              <wp:posOffset>326875</wp:posOffset>
            </wp:positionV>
            <wp:extent cx="5695465" cy="2412138"/>
            <wp:effectExtent l="19050" t="19050" r="63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6575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65" cy="241213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1BDA3BC3" w14:textId="77777777" w:rsidR="00765344" w:rsidRDefault="002750B5">
      <w:pPr>
        <w:rPr>
          <w:rStyle w:val="EmphasizeItalicize"/>
          <w:color w:val="FFFFFF" w:themeColor="background1"/>
          <w:sz w:val="36"/>
          <w:szCs w:val="36"/>
        </w:rPr>
      </w:pPr>
      <w:r>
        <w:rPr>
          <w:rStyle w:val="EmphasizeItalicize"/>
          <w:color w:val="FFFFFF" w:themeColor="background1"/>
          <w:sz w:val="36"/>
          <w:szCs w:val="36"/>
        </w:rPr>
        <w:br w:type="page"/>
      </w:r>
    </w:p>
    <w:p w14:paraId="1E337864" w14:textId="77777777" w:rsidR="00B95ABC" w:rsidRDefault="002750B5" w:rsidP="00B177CD">
      <w:pPr>
        <w:pStyle w:val="Heading10"/>
        <w:spacing w:before="0" w:after="0"/>
        <w:rPr>
          <w:rStyle w:val="EmphasizeItalicize"/>
          <w:color w:val="FFFFFF" w:themeColor="background1"/>
          <w:sz w:val="36"/>
          <w:szCs w:val="36"/>
        </w:rPr>
      </w:pPr>
      <w:r w:rsidRPr="00A4137F">
        <w:rPr>
          <w:rStyle w:val="EmphasizeItalicize"/>
          <w:color w:val="FFFFFF" w:themeColor="background1"/>
          <w:sz w:val="36"/>
          <w:szCs w:val="36"/>
        </w:rPr>
        <w:lastRenderedPageBreak/>
        <w:t xml:space="preserve">#2: </w:t>
      </w:r>
      <w:r w:rsidR="004E2E87" w:rsidRPr="00A4137F">
        <w:rPr>
          <w:rStyle w:val="EmphasizeItalicize"/>
          <w:color w:val="FFFFFF" w:themeColor="background1"/>
          <w:sz w:val="36"/>
          <w:szCs w:val="36"/>
        </w:rPr>
        <w:t xml:space="preserve">How Much Money Are You Willing </w:t>
      </w:r>
      <w:r w:rsidR="003F6E3B" w:rsidRPr="00A4137F">
        <w:rPr>
          <w:rStyle w:val="EmphasizeItalicize"/>
          <w:color w:val="FFFFFF" w:themeColor="background1"/>
          <w:sz w:val="36"/>
          <w:szCs w:val="36"/>
        </w:rPr>
        <w:t>to</w:t>
      </w:r>
      <w:r w:rsidR="004E2E87" w:rsidRPr="00A4137F">
        <w:rPr>
          <w:rStyle w:val="EmphasizeItalicize"/>
          <w:color w:val="FFFFFF" w:themeColor="background1"/>
          <w:sz w:val="36"/>
          <w:szCs w:val="36"/>
        </w:rPr>
        <w:t xml:space="preserve"> Leave </w:t>
      </w:r>
      <w:r w:rsidR="003F6E3B" w:rsidRPr="00A4137F">
        <w:rPr>
          <w:rStyle w:val="EmphasizeItalicize"/>
          <w:color w:val="FFFFFF" w:themeColor="background1"/>
          <w:sz w:val="36"/>
          <w:szCs w:val="36"/>
        </w:rPr>
        <w:t>on</w:t>
      </w:r>
      <w:r w:rsidR="004E2E87" w:rsidRPr="00A4137F">
        <w:rPr>
          <w:rStyle w:val="EmphasizeItalicize"/>
          <w:color w:val="FFFFFF" w:themeColor="background1"/>
          <w:sz w:val="36"/>
          <w:szCs w:val="36"/>
        </w:rPr>
        <w:t xml:space="preserve"> The Table?</w:t>
      </w:r>
    </w:p>
    <w:p w14:paraId="379E51EC" w14:textId="77777777" w:rsidR="00765344" w:rsidRPr="00765344" w:rsidRDefault="00765344" w:rsidP="00765344">
      <w:pPr>
        <w:pStyle w:val="Normal1"/>
      </w:pPr>
    </w:p>
    <w:p w14:paraId="4FB98A0C" w14:textId="77777777" w:rsidR="00B95ABC" w:rsidRPr="00A4137F" w:rsidRDefault="002750B5" w:rsidP="002F36D2">
      <w:pPr>
        <w:rPr>
          <w:color w:val="FFFFFF" w:themeColor="background1"/>
          <w:sz w:val="32"/>
          <w:szCs w:val="32"/>
        </w:rPr>
      </w:pPr>
      <w:r w:rsidRPr="00A4137F">
        <w:rPr>
          <w:noProof/>
          <w:color w:val="FFFFFF" w:themeColor="background1"/>
          <w:sz w:val="32"/>
          <w:szCs w:val="32"/>
        </w:rPr>
        <w:drawing>
          <wp:inline distT="0" distB="0" distL="0" distR="0" wp14:anchorId="32E1E1B7" wp14:editId="1E9D086B">
            <wp:extent cx="5695950" cy="2790190"/>
            <wp:effectExtent l="19050" t="19050" r="0" b="0"/>
            <wp:docPr id="3" name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82988" name="New Bitmap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343" cy="2833000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1BF1DADC" w14:textId="77777777" w:rsidR="00B95ABC" w:rsidRPr="00A4137F" w:rsidRDefault="002750B5" w:rsidP="009233DB">
      <w:pPr>
        <w:pStyle w:val="IntenseQuote"/>
        <w:numPr>
          <w:ilvl w:val="0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U.S. rules for calculating lump-sums favour pension funds</w:t>
      </w:r>
    </w:p>
    <w:p w14:paraId="2865DE00" w14:textId="77777777" w:rsidR="00B95ABC" w:rsidRPr="00A4137F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Lump-sums don't equal projected sum of annuity payments </w:t>
      </w:r>
    </w:p>
    <w:p w14:paraId="670262B1" w14:textId="77777777" w:rsidR="003F6E3B" w:rsidRPr="00A4137F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rStyle w:val="Strong1"/>
          <w:b w:val="0"/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Commercial annuities w/ same monthly payment more expensive</w:t>
      </w:r>
      <w:r w:rsidRPr="00A4137F">
        <w:rPr>
          <w:rStyle w:val="Emphasis1"/>
          <w:color w:val="FFFFFF" w:themeColor="background1"/>
          <w:sz w:val="32"/>
          <w:szCs w:val="32"/>
        </w:rPr>
        <w:t xml:space="preserve"> than lump sum</w:t>
      </w:r>
    </w:p>
    <w:p w14:paraId="6190FF15" w14:textId="77777777" w:rsidR="00B95ABC" w:rsidRPr="00A4137F" w:rsidRDefault="002750B5" w:rsidP="009233DB">
      <w:pPr>
        <w:pStyle w:val="IntenseQuote"/>
        <w:numPr>
          <w:ilvl w:val="0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Other retirement benefits not part of a lump-sum calculation</w:t>
      </w:r>
    </w:p>
    <w:p w14:paraId="1296C038" w14:textId="77777777" w:rsidR="00943141" w:rsidRPr="00A4137F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rStyle w:val="Strong1"/>
          <w:b w:val="0"/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Healthcare</w:t>
      </w:r>
    </w:p>
    <w:p w14:paraId="3C58D3EC" w14:textId="77777777" w:rsidR="00B95ABC" w:rsidRPr="00A4137F" w:rsidRDefault="002750B5" w:rsidP="009233DB">
      <w:pPr>
        <w:pStyle w:val="IntenseQuote"/>
        <w:numPr>
          <w:ilvl w:val="0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Age and family matter</w:t>
      </w:r>
    </w:p>
    <w:p w14:paraId="36C6EBB0" w14:textId="77777777" w:rsidR="00B95ABC" w:rsidRPr="00A4137F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A young vested worker in frozen pension plan vs. inflation</w:t>
      </w:r>
    </w:p>
    <w:p w14:paraId="084C8872" w14:textId="77777777" w:rsidR="00B95ABC" w:rsidRPr="00A4137F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Married or children = annuity survivorship options </w:t>
      </w:r>
    </w:p>
    <w:p w14:paraId="7B1B3828" w14:textId="77777777" w:rsidR="00B95ABC" w:rsidRPr="00A4137F" w:rsidRDefault="002750B5" w:rsidP="009233DB">
      <w:pPr>
        <w:pStyle w:val="IntenseQuote"/>
        <w:numPr>
          <w:ilvl w:val="0"/>
          <w:numId w:val="2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Leaving money on the table is the employee's decision</w:t>
      </w:r>
    </w:p>
    <w:p w14:paraId="5E463FF4" w14:textId="77777777" w:rsidR="004E2E87" w:rsidRDefault="002750B5" w:rsidP="009233DB">
      <w:pPr>
        <w:pStyle w:val="IntenseQuote"/>
        <w:numPr>
          <w:ilvl w:val="1"/>
          <w:numId w:val="2"/>
        </w:numPr>
        <w:spacing w:before="0" w:after="0"/>
        <w:jc w:val="left"/>
        <w:rPr>
          <w:rStyle w:val="Emphasis1"/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Understand the cost</w:t>
      </w:r>
    </w:p>
    <w:p w14:paraId="4810635C" w14:textId="77777777" w:rsidR="00B95ABC" w:rsidRDefault="002750B5" w:rsidP="00FD2FD1">
      <w:pPr>
        <w:rPr>
          <w:rStyle w:val="EmphasizeItalicize"/>
          <w:color w:val="FFFFFF" w:themeColor="background1"/>
          <w:sz w:val="40"/>
          <w:szCs w:val="40"/>
        </w:rPr>
      </w:pPr>
      <w:r w:rsidRPr="00A4137F">
        <w:rPr>
          <w:rStyle w:val="EmphasizeItalicize"/>
          <w:color w:val="FFFFFF" w:themeColor="background1"/>
          <w:sz w:val="40"/>
          <w:szCs w:val="40"/>
        </w:rPr>
        <w:lastRenderedPageBreak/>
        <w:t xml:space="preserve">#3: 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What Will You Use </w:t>
      </w:r>
      <w:r w:rsidR="007843C6" w:rsidRPr="00A4137F">
        <w:rPr>
          <w:rStyle w:val="EmphasizeItalicize"/>
          <w:color w:val="FFFFFF" w:themeColor="background1"/>
          <w:sz w:val="40"/>
          <w:szCs w:val="40"/>
        </w:rPr>
        <w:t>the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 Money For?</w:t>
      </w:r>
    </w:p>
    <w:p w14:paraId="37C09398" w14:textId="77777777" w:rsidR="00765344" w:rsidRPr="00A4137F" w:rsidRDefault="00765344" w:rsidP="00FD2FD1">
      <w:pPr>
        <w:rPr>
          <w:rFonts w:ascii="Calibri"/>
          <w:b/>
          <w:i/>
          <w:color w:val="FFFFFF" w:themeColor="background1"/>
          <w:sz w:val="24"/>
          <w:szCs w:val="24"/>
        </w:rPr>
      </w:pPr>
    </w:p>
    <w:p w14:paraId="71EAF985" w14:textId="77777777" w:rsidR="00B95ABC" w:rsidRPr="00A4137F" w:rsidRDefault="002750B5" w:rsidP="002F36D2">
      <w:pPr>
        <w:rPr>
          <w:color w:val="FFFFFF" w:themeColor="background1"/>
          <w:sz w:val="32"/>
          <w:szCs w:val="32"/>
        </w:rPr>
      </w:pPr>
      <w:r w:rsidRPr="00A4137F">
        <w:rPr>
          <w:noProof/>
          <w:color w:val="FFFFFF" w:themeColor="background1"/>
          <w:sz w:val="32"/>
          <w:szCs w:val="32"/>
        </w:rPr>
        <w:drawing>
          <wp:inline distT="0" distB="0" distL="0" distR="0" wp14:anchorId="0958A9AC" wp14:editId="2971D2D3">
            <wp:extent cx="5695950" cy="2729865"/>
            <wp:effectExtent l="19050" t="19050" r="0" b="0"/>
            <wp:docPr id="4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70777" name="New Bitmap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911" cy="2751413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E735235" w14:textId="77777777" w:rsidR="00B95ABC" w:rsidRPr="00A4137F" w:rsidRDefault="002750B5" w:rsidP="009233DB">
      <w:pPr>
        <w:pStyle w:val="IntenseQuote"/>
        <w:numPr>
          <w:ilvl w:val="0"/>
          <w:numId w:val="3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Annuity = perceived safe/stable retirement income</w:t>
      </w:r>
    </w:p>
    <w:p w14:paraId="0A3AA381" w14:textId="4A268BF1" w:rsidR="002537E2" w:rsidRPr="002537E2" w:rsidRDefault="002537E2" w:rsidP="002537E2">
      <w:pPr>
        <w:pStyle w:val="IntenseQuote"/>
        <w:spacing w:before="0" w:after="0"/>
        <w:ind w:left="1080"/>
        <w:jc w:val="left"/>
        <w:rPr>
          <w:rStyle w:val="Emphasis1"/>
          <w:i/>
          <w:color w:val="FFFFFF" w:themeColor="background1"/>
          <w:sz w:val="32"/>
          <w:szCs w:val="32"/>
        </w:rPr>
      </w:pPr>
      <w:r>
        <w:rPr>
          <w:rStyle w:val="Emphasis1"/>
          <w:i/>
          <w:color w:val="FFFFFF" w:themeColor="background1"/>
          <w:sz w:val="32"/>
          <w:szCs w:val="32"/>
        </w:rPr>
        <w:t>Met Life Study (2017):</w:t>
      </w:r>
    </w:p>
    <w:p w14:paraId="0925B4DE" w14:textId="6C3A0E11" w:rsidR="00B95ABC" w:rsidRPr="00A4137F" w:rsidRDefault="002750B5" w:rsidP="009233DB">
      <w:pPr>
        <w:pStyle w:val="IntenseQuote"/>
        <w:numPr>
          <w:ilvl w:val="1"/>
          <w:numId w:val="3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64% of annuitants described as risk-aver</w:t>
      </w:r>
      <w:r w:rsidRPr="00A4137F">
        <w:rPr>
          <w:rStyle w:val="Emphasis1"/>
          <w:color w:val="FFFFFF" w:themeColor="background1"/>
          <w:sz w:val="32"/>
          <w:szCs w:val="32"/>
        </w:rPr>
        <w:t>se</w:t>
      </w:r>
    </w:p>
    <w:p w14:paraId="0698548F" w14:textId="77777777" w:rsidR="00B95ABC" w:rsidRPr="00A4137F" w:rsidRDefault="002750B5" w:rsidP="009233DB">
      <w:pPr>
        <w:pStyle w:val="IntenseQuote"/>
        <w:numPr>
          <w:ilvl w:val="1"/>
          <w:numId w:val="3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95% of annuitants like retirement budget stability</w:t>
      </w:r>
    </w:p>
    <w:p w14:paraId="1CF0B65C" w14:textId="77777777" w:rsidR="00B95ABC" w:rsidRPr="00A4137F" w:rsidRDefault="002750B5" w:rsidP="009233DB">
      <w:pPr>
        <w:pStyle w:val="IntenseQuote"/>
        <w:numPr>
          <w:ilvl w:val="1"/>
          <w:numId w:val="3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96% of annuitants satisfied with </w:t>
      </w:r>
      <w:r w:rsidR="003F6E3B" w:rsidRPr="00A4137F">
        <w:rPr>
          <w:rStyle w:val="Emphasis1"/>
          <w:color w:val="FFFFFF" w:themeColor="background1"/>
          <w:sz w:val="32"/>
          <w:szCs w:val="32"/>
        </w:rPr>
        <w:t>the choice,</w:t>
      </w:r>
      <w:r w:rsidRPr="00A4137F">
        <w:rPr>
          <w:rStyle w:val="Emphasis1"/>
          <w:color w:val="FFFFFF" w:themeColor="background1"/>
          <w:sz w:val="32"/>
          <w:szCs w:val="32"/>
        </w:rPr>
        <w:t xml:space="preserve"> less anxiety</w:t>
      </w:r>
    </w:p>
    <w:p w14:paraId="5990BB0A" w14:textId="77777777" w:rsidR="00B95ABC" w:rsidRPr="00A4137F" w:rsidRDefault="002750B5" w:rsidP="009233DB">
      <w:pPr>
        <w:pStyle w:val="IntenseQuote"/>
        <w:numPr>
          <w:ilvl w:val="0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Lump-sum = need money, desire control, and perceive safety</w:t>
      </w:r>
    </w:p>
    <w:p w14:paraId="206463BF" w14:textId="77777777" w:rsidR="00B95ABC" w:rsidRPr="00A4137F" w:rsidRDefault="002750B5" w:rsidP="009233DB">
      <w:pPr>
        <w:pStyle w:val="IntenseQuote"/>
        <w:numPr>
          <w:ilvl w:val="1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Eliminate debt</w:t>
      </w:r>
    </w:p>
    <w:p w14:paraId="46536C8E" w14:textId="77777777" w:rsidR="00B95ABC" w:rsidRPr="00A4137F" w:rsidRDefault="002750B5" w:rsidP="009233DB">
      <w:pPr>
        <w:pStyle w:val="IntenseQuote"/>
        <w:numPr>
          <w:ilvl w:val="1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Life shocks (health issues, divorce, etc.)</w:t>
      </w:r>
    </w:p>
    <w:p w14:paraId="09785915" w14:textId="77777777" w:rsidR="00B95ABC" w:rsidRPr="00A4137F" w:rsidRDefault="002750B5" w:rsidP="009233DB">
      <w:pPr>
        <w:pStyle w:val="IntenseQuote"/>
        <w:numPr>
          <w:ilvl w:val="1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Desire money control = </w:t>
      </w:r>
      <w:r w:rsidRPr="00A4137F">
        <w:rPr>
          <w:rStyle w:val="Emphasis1"/>
          <w:color w:val="FFFFFF" w:themeColor="background1"/>
          <w:sz w:val="32"/>
          <w:szCs w:val="32"/>
        </w:rPr>
        <w:t>heirs</w:t>
      </w:r>
    </w:p>
    <w:p w14:paraId="68FE37C5" w14:textId="77777777" w:rsidR="00B95ABC" w:rsidRPr="00A4137F" w:rsidRDefault="002750B5" w:rsidP="009233DB">
      <w:pPr>
        <w:pStyle w:val="IntenseQuote"/>
        <w:numPr>
          <w:ilvl w:val="1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Self-directed savings (i.e. home) or investments </w:t>
      </w:r>
    </w:p>
    <w:p w14:paraId="7BAE62CB" w14:textId="77777777" w:rsidR="00B95ABC" w:rsidRPr="00A4137F" w:rsidRDefault="002750B5" w:rsidP="009233DB">
      <w:pPr>
        <w:pStyle w:val="IntenseQuote"/>
        <w:numPr>
          <w:ilvl w:val="1"/>
          <w:numId w:val="4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Less budget stability more anxiety</w:t>
      </w:r>
    </w:p>
    <w:p w14:paraId="6C110AF7" w14:textId="77777777" w:rsidR="00B95ABC" w:rsidRPr="00A4137F" w:rsidRDefault="002750B5" w:rsidP="009233DB">
      <w:pPr>
        <w:pStyle w:val="IntenseQuote"/>
        <w:numPr>
          <w:ilvl w:val="0"/>
          <w:numId w:val="5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 xml:space="preserve">Studies found outcomes </w:t>
      </w:r>
      <w:r w:rsidR="007843C6" w:rsidRPr="00A4137F">
        <w:rPr>
          <w:rStyle w:val="Strong1"/>
          <w:color w:val="FFFFFF" w:themeColor="background1"/>
          <w:sz w:val="32"/>
          <w:szCs w:val="32"/>
        </w:rPr>
        <w:t>statistically</w:t>
      </w:r>
      <w:r w:rsidRPr="00A4137F">
        <w:rPr>
          <w:rStyle w:val="Strong1"/>
          <w:color w:val="FFFFFF" w:themeColor="background1"/>
          <w:sz w:val="32"/>
          <w:szCs w:val="32"/>
        </w:rPr>
        <w:t xml:space="preserve"> similar for lump-sum saved/invested vs. annuity</w:t>
      </w:r>
    </w:p>
    <w:p w14:paraId="64DEA46F" w14:textId="77777777" w:rsidR="00B95ABC" w:rsidRPr="00A4137F" w:rsidRDefault="002750B5" w:rsidP="009233DB">
      <w:pPr>
        <w:pStyle w:val="IntenseQuote"/>
        <w:numPr>
          <w:ilvl w:val="1"/>
          <w:numId w:val="5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Lump-sum won't change fortunes for worst off</w:t>
      </w:r>
      <w:r w:rsidRPr="00A4137F">
        <w:rPr>
          <w:rStyle w:val="Emphasis1"/>
          <w:color w:val="FFFFFF" w:themeColor="background1"/>
          <w:sz w:val="32"/>
          <w:szCs w:val="32"/>
        </w:rPr>
        <w:t> </w:t>
      </w:r>
    </w:p>
    <w:p w14:paraId="4C571628" w14:textId="77777777" w:rsidR="00B95ABC" w:rsidRPr="00A4137F" w:rsidRDefault="002750B5" w:rsidP="009233DB">
      <w:pPr>
        <w:pStyle w:val="IntenseQuote"/>
        <w:numPr>
          <w:ilvl w:val="1"/>
          <w:numId w:val="5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Or those with bad money habits</w:t>
      </w:r>
    </w:p>
    <w:p w14:paraId="43F9E295" w14:textId="77777777" w:rsidR="00B95ABC" w:rsidRDefault="002750B5" w:rsidP="009233DB">
      <w:pPr>
        <w:rPr>
          <w:rStyle w:val="EmphasizeItalicize"/>
          <w:color w:val="FFFFFF" w:themeColor="background1"/>
          <w:sz w:val="40"/>
          <w:szCs w:val="40"/>
        </w:rPr>
      </w:pPr>
      <w:r w:rsidRPr="00A4137F">
        <w:rPr>
          <w:rStyle w:val="EmphasizeItalicize"/>
          <w:color w:val="FFFFFF" w:themeColor="background1"/>
          <w:sz w:val="48"/>
          <w:szCs w:val="48"/>
        </w:rPr>
        <w:br w:type="page"/>
      </w:r>
      <w:r w:rsidR="006B7566" w:rsidRPr="00A4137F">
        <w:rPr>
          <w:rStyle w:val="EmphasizeItalicize"/>
          <w:color w:val="FFFFFF" w:themeColor="background1"/>
          <w:sz w:val="40"/>
          <w:szCs w:val="40"/>
        </w:rPr>
        <w:lastRenderedPageBreak/>
        <w:t xml:space="preserve">#4: 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How Healthy Is </w:t>
      </w:r>
      <w:r w:rsidRPr="00A4137F">
        <w:rPr>
          <w:rStyle w:val="EmphasizeItalicize"/>
          <w:color w:val="FFFFFF" w:themeColor="background1"/>
          <w:sz w:val="40"/>
          <w:szCs w:val="40"/>
        </w:rPr>
        <w:t>the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 Company's Pension Fund?</w:t>
      </w:r>
    </w:p>
    <w:p w14:paraId="6476571A" w14:textId="77777777" w:rsidR="00765344" w:rsidRPr="00A4137F" w:rsidRDefault="00765344" w:rsidP="009233DB">
      <w:pPr>
        <w:rPr>
          <w:color w:val="FFFFFF" w:themeColor="background1"/>
          <w:sz w:val="44"/>
          <w:szCs w:val="44"/>
        </w:rPr>
      </w:pPr>
    </w:p>
    <w:p w14:paraId="2AF86CA5" w14:textId="77777777" w:rsidR="00B95ABC" w:rsidRPr="00A4137F" w:rsidRDefault="002750B5" w:rsidP="002F36D2">
      <w:pPr>
        <w:rPr>
          <w:color w:val="FFFFFF" w:themeColor="background1"/>
          <w:sz w:val="32"/>
          <w:szCs w:val="32"/>
        </w:rPr>
      </w:pPr>
      <w:r w:rsidRPr="00A4137F">
        <w:rPr>
          <w:noProof/>
          <w:color w:val="FFFFFF" w:themeColor="background1"/>
          <w:sz w:val="32"/>
          <w:szCs w:val="32"/>
        </w:rPr>
        <w:drawing>
          <wp:inline distT="0" distB="0" distL="0" distR="0" wp14:anchorId="0EB1A9FE" wp14:editId="50D337BC">
            <wp:extent cx="5715000" cy="2569210"/>
            <wp:effectExtent l="19050" t="19050" r="0" b="2540"/>
            <wp:docPr id="5" name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03817" name="New Bitmap 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811" cy="2570923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176CB482" w14:textId="77777777" w:rsidR="00B95ABC" w:rsidRPr="00A4137F" w:rsidRDefault="002750B5" w:rsidP="004D5E8E">
      <w:pPr>
        <w:pStyle w:val="IntenseQuote"/>
        <w:numPr>
          <w:ilvl w:val="0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Fear for pension fund's health</w:t>
      </w:r>
    </w:p>
    <w:p w14:paraId="4055AC67" w14:textId="6A491265" w:rsidR="00B95ABC" w:rsidRPr="00A4137F" w:rsidRDefault="002750B5" w:rsidP="004D5E8E">
      <w:pPr>
        <w:pStyle w:val="IntenseQuote"/>
        <w:numPr>
          <w:ilvl w:val="1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#1 Reason for electing lump-sum</w:t>
      </w:r>
    </w:p>
    <w:p w14:paraId="31C3C8B4" w14:textId="77777777" w:rsidR="00B95ABC" w:rsidRPr="00A4137F" w:rsidRDefault="002750B5" w:rsidP="004D5E8E">
      <w:pPr>
        <w:pStyle w:val="IntenseQuote"/>
        <w:numPr>
          <w:ilvl w:val="0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 xml:space="preserve">Annuity from pension fund </w:t>
      </w:r>
      <w:r w:rsidR="007843C6" w:rsidRPr="00A4137F">
        <w:rPr>
          <w:rStyle w:val="Strong1"/>
          <w:color w:val="FFFFFF" w:themeColor="background1"/>
          <w:sz w:val="32"/>
          <w:szCs w:val="32"/>
        </w:rPr>
        <w:t xml:space="preserve">is </w:t>
      </w:r>
      <w:r w:rsidRPr="00A4137F">
        <w:rPr>
          <w:rStyle w:val="Strong1"/>
          <w:color w:val="FFFFFF" w:themeColor="background1"/>
          <w:sz w:val="32"/>
          <w:szCs w:val="32"/>
        </w:rPr>
        <w:t>not risk-free</w:t>
      </w:r>
    </w:p>
    <w:p w14:paraId="3EF780B3" w14:textId="7A3983B2" w:rsidR="00B95ABC" w:rsidRPr="00A4137F" w:rsidRDefault="00CA17EE" w:rsidP="004D5E8E">
      <w:pPr>
        <w:pStyle w:val="IntenseQuote"/>
        <w:numPr>
          <w:ilvl w:val="1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>
        <w:rPr>
          <w:rStyle w:val="Emphasis1"/>
          <w:color w:val="FFFFFF" w:themeColor="background1"/>
          <w:sz w:val="32"/>
          <w:szCs w:val="32"/>
        </w:rPr>
        <w:t xml:space="preserve">PI Online: </w:t>
      </w:r>
      <w:r w:rsidR="002750B5" w:rsidRPr="00A4137F">
        <w:rPr>
          <w:rStyle w:val="Emphasis1"/>
          <w:color w:val="FFFFFF" w:themeColor="background1"/>
          <w:sz w:val="32"/>
          <w:szCs w:val="32"/>
        </w:rPr>
        <w:t xml:space="preserve">87% funding avg. for U.S. </w:t>
      </w:r>
      <w:r>
        <w:rPr>
          <w:rStyle w:val="Emphasis1"/>
          <w:color w:val="FFFFFF" w:themeColor="background1"/>
          <w:sz w:val="32"/>
          <w:szCs w:val="32"/>
        </w:rPr>
        <w:t>corp.</w:t>
      </w:r>
      <w:r w:rsidR="002750B5" w:rsidRPr="00A4137F">
        <w:rPr>
          <w:rStyle w:val="Emphasis1"/>
          <w:color w:val="FFFFFF" w:themeColor="background1"/>
          <w:sz w:val="32"/>
          <w:szCs w:val="32"/>
        </w:rPr>
        <w:t xml:space="preserve"> pension funds</w:t>
      </w:r>
    </w:p>
    <w:p w14:paraId="38112EAA" w14:textId="77777777" w:rsidR="00B95ABC" w:rsidRPr="00A4137F" w:rsidRDefault="002750B5" w:rsidP="004D5E8E">
      <w:pPr>
        <w:pStyle w:val="IntenseQuote"/>
        <w:numPr>
          <w:ilvl w:val="1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Research advised; read annual statements</w:t>
      </w:r>
    </w:p>
    <w:p w14:paraId="06380F38" w14:textId="592AD680" w:rsidR="00B95ABC" w:rsidRPr="00A4137F" w:rsidRDefault="002750B5" w:rsidP="004D5E8E">
      <w:pPr>
        <w:pStyle w:val="IntenseQuote"/>
        <w:numPr>
          <w:ilvl w:val="0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American A</w:t>
      </w:r>
      <w:r w:rsidR="002537E2">
        <w:rPr>
          <w:rStyle w:val="Strong1"/>
          <w:color w:val="FFFFFF" w:themeColor="background1"/>
          <w:sz w:val="32"/>
          <w:szCs w:val="32"/>
        </w:rPr>
        <w:t>cademy</w:t>
      </w:r>
      <w:r w:rsidRPr="00A4137F">
        <w:rPr>
          <w:rStyle w:val="Strong1"/>
          <w:color w:val="FFFFFF" w:themeColor="background1"/>
          <w:sz w:val="32"/>
          <w:szCs w:val="32"/>
        </w:rPr>
        <w:t xml:space="preserve"> of Actuaries (AAOA)</w:t>
      </w:r>
    </w:p>
    <w:p w14:paraId="2FAC9A8E" w14:textId="77777777" w:rsidR="00B95ABC" w:rsidRPr="00A4137F" w:rsidRDefault="002750B5" w:rsidP="004D5E8E">
      <w:pPr>
        <w:pStyle w:val="IntenseQuote"/>
        <w:numPr>
          <w:ilvl w:val="1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Funding level trend more critical than snapshot</w:t>
      </w:r>
    </w:p>
    <w:p w14:paraId="0BB210CE" w14:textId="084C25FB" w:rsidR="00B95ABC" w:rsidRPr="00A4137F" w:rsidRDefault="002750B5" w:rsidP="004D5E8E">
      <w:pPr>
        <w:pStyle w:val="IntenseQuote"/>
        <w:numPr>
          <w:ilvl w:val="0"/>
          <w:numId w:val="6"/>
        </w:numPr>
        <w:spacing w:before="0" w:after="0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 xml:space="preserve">PRT to insurance company = </w:t>
      </w:r>
      <w:r w:rsidR="002537E2">
        <w:rPr>
          <w:rStyle w:val="Strong1"/>
          <w:color w:val="FFFFFF" w:themeColor="background1"/>
          <w:sz w:val="32"/>
          <w:szCs w:val="32"/>
        </w:rPr>
        <w:t>not a sign of trouble</w:t>
      </w:r>
    </w:p>
    <w:p w14:paraId="493B72CC" w14:textId="77777777" w:rsidR="00B95ABC" w:rsidRDefault="002750B5" w:rsidP="004D5E8E">
      <w:pPr>
        <w:pStyle w:val="IntenseQuote"/>
        <w:numPr>
          <w:ilvl w:val="1"/>
          <w:numId w:val="6"/>
        </w:numPr>
        <w:spacing w:before="0" w:after="0"/>
        <w:jc w:val="left"/>
        <w:rPr>
          <w:rStyle w:val="Emphasis1"/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Insurance companies uniquely suited to assume risk</w:t>
      </w:r>
    </w:p>
    <w:p w14:paraId="08AFCC49" w14:textId="77777777" w:rsidR="000A5543" w:rsidRDefault="000A5543" w:rsidP="000A5543">
      <w:pPr>
        <w:pStyle w:val="Normal1"/>
      </w:pPr>
    </w:p>
    <w:p w14:paraId="5B3CCDA2" w14:textId="77777777" w:rsidR="000A5543" w:rsidRPr="000A5543" w:rsidRDefault="002750B5" w:rsidP="000A5543">
      <w:pPr>
        <w:pStyle w:val="Normal1"/>
      </w:pPr>
      <w:r>
        <w:rPr>
          <w:noProof/>
        </w:rPr>
        <w:pict w14:anchorId="520E058E">
          <v:group id="Group 9" o:spid="_x0000_s1026" style="position:absolute;margin-left:0;margin-top:.15pt;width:452.85pt;height:120.2pt;z-index:-251655168" coordsize="57315,36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57315;height:34029;visibility:visible;mso-wrap-style:square" stroked="t" strokecolor="white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top:34029;width:57315;height:2312;visibility:visible;v-text-anchor:top" stroked="f">
              <v:textbox>
                <w:txbxContent>
                  <w:p w14:paraId="714A1FCE" w14:textId="77777777" w:rsidR="000A5543" w:rsidRPr="000A5543" w:rsidRDefault="002750B5" w:rsidP="000A5543">
                    <w:pPr>
                      <w:rPr>
                        <w:sz w:val="18"/>
                        <w:szCs w:val="18"/>
                      </w:rPr>
                    </w:pPr>
                    <w:hyperlink r:id="rId15" w:history="1">
                      <w:r w:rsidRPr="000A5543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Pr="000A5543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6" w:history="1">
                      <w:r w:rsidRPr="000A5543">
                        <w:rPr>
                          <w:rStyle w:val="Hyperlink"/>
                          <w:sz w:val="18"/>
                          <w:szCs w:val="18"/>
                        </w:rPr>
                        <w:t>CC BY-NC</w:t>
                      </w:r>
                    </w:hyperlink>
                  </w:p>
                </w:txbxContent>
              </v:textbox>
            </v:shape>
          </v:group>
        </w:pict>
      </w:r>
    </w:p>
    <w:p w14:paraId="46A993C5" w14:textId="77777777" w:rsidR="009233DB" w:rsidRPr="00A4137F" w:rsidRDefault="002750B5" w:rsidP="004D5E8E">
      <w:pPr>
        <w:rPr>
          <w:rStyle w:val="EmphasizeItalicize"/>
          <w:color w:val="FFFFFF" w:themeColor="background1"/>
          <w:sz w:val="48"/>
          <w:szCs w:val="48"/>
        </w:rPr>
      </w:pPr>
      <w:r w:rsidRPr="00A4137F">
        <w:rPr>
          <w:rStyle w:val="EmphasizeItalicize"/>
          <w:color w:val="FFFFFF" w:themeColor="background1"/>
          <w:sz w:val="48"/>
          <w:szCs w:val="48"/>
        </w:rPr>
        <w:br w:type="page"/>
      </w:r>
    </w:p>
    <w:p w14:paraId="7296D730" w14:textId="77777777" w:rsidR="00B95ABC" w:rsidRDefault="002750B5" w:rsidP="00E32DAC">
      <w:pPr>
        <w:rPr>
          <w:rStyle w:val="EmphasizeItalicize"/>
          <w:color w:val="FFFFFF" w:themeColor="background1"/>
          <w:sz w:val="40"/>
          <w:szCs w:val="40"/>
        </w:rPr>
      </w:pPr>
      <w:r w:rsidRPr="00A4137F">
        <w:rPr>
          <w:rStyle w:val="EmphasizeItalicize"/>
          <w:color w:val="FFFFFF" w:themeColor="background1"/>
          <w:sz w:val="40"/>
          <w:szCs w:val="40"/>
        </w:rPr>
        <w:lastRenderedPageBreak/>
        <w:t xml:space="preserve">#5: 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Have You Talked </w:t>
      </w:r>
      <w:r w:rsidR="007843C6" w:rsidRPr="00A4137F">
        <w:rPr>
          <w:rStyle w:val="EmphasizeItalicize"/>
          <w:color w:val="FFFFFF" w:themeColor="background1"/>
          <w:sz w:val="40"/>
          <w:szCs w:val="40"/>
        </w:rPr>
        <w:t>to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 xml:space="preserve"> </w:t>
      </w:r>
      <w:r w:rsidR="009233DB" w:rsidRPr="00A4137F">
        <w:rPr>
          <w:rStyle w:val="EmphasizeItalicize"/>
          <w:color w:val="FFFFFF" w:themeColor="background1"/>
          <w:sz w:val="40"/>
          <w:szCs w:val="40"/>
        </w:rPr>
        <w:t xml:space="preserve">a </w:t>
      </w:r>
      <w:r w:rsidR="004E2E87" w:rsidRPr="00A4137F">
        <w:rPr>
          <w:rStyle w:val="EmphasizeItalicize"/>
          <w:color w:val="FFFFFF" w:themeColor="background1"/>
          <w:sz w:val="40"/>
          <w:szCs w:val="40"/>
        </w:rPr>
        <w:t>Financial Professional?</w:t>
      </w:r>
    </w:p>
    <w:p w14:paraId="1FCA387D" w14:textId="77777777" w:rsidR="00765344" w:rsidRPr="00A4137F" w:rsidRDefault="00765344" w:rsidP="00E32DAC">
      <w:pPr>
        <w:rPr>
          <w:rStyle w:val="EmphasizeItalicize"/>
          <w:rFonts w:ascii="Calibri Light"/>
          <w:b w:val="0"/>
          <w:i w:val="0"/>
          <w:color w:val="FFFFFF" w:themeColor="background1"/>
          <w:sz w:val="24"/>
          <w:szCs w:val="24"/>
        </w:rPr>
      </w:pPr>
    </w:p>
    <w:p w14:paraId="2BE5C431" w14:textId="77777777" w:rsidR="00B95ABC" w:rsidRPr="00A4137F" w:rsidRDefault="002750B5" w:rsidP="002F36D2">
      <w:pPr>
        <w:rPr>
          <w:color w:val="FFFFFF" w:themeColor="background1"/>
          <w:sz w:val="32"/>
          <w:szCs w:val="32"/>
        </w:rPr>
      </w:pPr>
      <w:r w:rsidRPr="00A4137F">
        <w:rPr>
          <w:noProof/>
          <w:color w:val="FFFFFF" w:themeColor="background1"/>
          <w:sz w:val="32"/>
          <w:szCs w:val="32"/>
        </w:rPr>
        <w:drawing>
          <wp:inline distT="0" distB="0" distL="0" distR="0" wp14:anchorId="7EF805C1" wp14:editId="0C01AFE8">
            <wp:extent cx="5695950" cy="1950720"/>
            <wp:effectExtent l="19050" t="19050" r="0" b="0"/>
            <wp:docPr id="6" name="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91557" name="New Bitmap Imag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847" cy="2017125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28A448CB" w14:textId="77777777" w:rsidR="00B95ABC" w:rsidRPr="00A4137F" w:rsidRDefault="002750B5" w:rsidP="00B177CD">
      <w:pPr>
        <w:pStyle w:val="IntenseQuote"/>
        <w:numPr>
          <w:ilvl w:val="0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Frontline managers (probably) not financial professionals</w:t>
      </w:r>
    </w:p>
    <w:p w14:paraId="4189680A" w14:textId="77777777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Complicated finance issues require certified fiduciary advice</w:t>
      </w:r>
    </w:p>
    <w:p w14:paraId="4F692EBC" w14:textId="77777777" w:rsidR="00B95ABC" w:rsidRPr="00A4137F" w:rsidRDefault="002750B5" w:rsidP="004D5E8E">
      <w:pPr>
        <w:pStyle w:val="IntenseQuote"/>
        <w:numPr>
          <w:ilvl w:val="0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Conflict of interest = everywhere in a lump-sum decision</w:t>
      </w:r>
    </w:p>
    <w:p w14:paraId="1132B9BE" w14:textId="78AA7955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Company = vested interest to push </w:t>
      </w:r>
      <w:r w:rsidR="00CA17EE">
        <w:rPr>
          <w:rStyle w:val="Emphasis1"/>
          <w:color w:val="FFFFFF" w:themeColor="background1"/>
          <w:sz w:val="32"/>
          <w:szCs w:val="32"/>
        </w:rPr>
        <w:t>for</w:t>
      </w:r>
      <w:r w:rsidRPr="00A4137F">
        <w:rPr>
          <w:rStyle w:val="Emphasis1"/>
          <w:color w:val="FFFFFF" w:themeColor="background1"/>
          <w:sz w:val="32"/>
          <w:szCs w:val="32"/>
        </w:rPr>
        <w:t xml:space="preserve"> lump-sum</w:t>
      </w:r>
    </w:p>
    <w:p w14:paraId="620C6086" w14:textId="6AD497CA" w:rsidR="00B95ABC" w:rsidRPr="00A4137F" w:rsidRDefault="00CA17EE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>
        <w:rPr>
          <w:rStyle w:val="Emphasis1"/>
          <w:color w:val="FFFFFF" w:themeColor="background1"/>
          <w:sz w:val="32"/>
          <w:szCs w:val="32"/>
        </w:rPr>
        <w:t>Insurance Co.</w:t>
      </w:r>
      <w:r w:rsidR="002750B5" w:rsidRPr="00A4137F">
        <w:rPr>
          <w:rStyle w:val="Emphasis1"/>
          <w:color w:val="FFFFFF" w:themeColor="background1"/>
          <w:sz w:val="32"/>
          <w:szCs w:val="32"/>
        </w:rPr>
        <w:t xml:space="preserve"> = push expensive products in</w:t>
      </w:r>
      <w:r w:rsidR="004D5E8E" w:rsidRPr="00A4137F">
        <w:rPr>
          <w:rStyle w:val="Emphasis1"/>
          <w:color w:val="FFFFFF" w:themeColor="background1"/>
          <w:sz w:val="32"/>
          <w:szCs w:val="32"/>
        </w:rPr>
        <w:t xml:space="preserve"> </w:t>
      </w:r>
      <w:r w:rsidR="002750B5" w:rsidRPr="00A4137F">
        <w:rPr>
          <w:rStyle w:val="Emphasis1"/>
          <w:color w:val="FFFFFF" w:themeColor="background1"/>
          <w:sz w:val="32"/>
          <w:szCs w:val="32"/>
        </w:rPr>
        <w:t>plan</w:t>
      </w:r>
    </w:p>
    <w:p w14:paraId="0FDFDEDB" w14:textId="51639704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Employee</w:t>
      </w:r>
      <w:r w:rsidRPr="00A4137F">
        <w:rPr>
          <w:rStyle w:val="Emphasis1"/>
          <w:color w:val="FFFFFF" w:themeColor="background1"/>
          <w:sz w:val="32"/>
          <w:szCs w:val="32"/>
        </w:rPr>
        <w:t>’</w:t>
      </w:r>
      <w:r w:rsidRPr="00A4137F">
        <w:rPr>
          <w:rStyle w:val="Emphasis1"/>
          <w:color w:val="FFFFFF" w:themeColor="background1"/>
          <w:sz w:val="32"/>
          <w:szCs w:val="32"/>
        </w:rPr>
        <w:t>s money manager = Assets Under Management (</w:t>
      </w:r>
      <w:proofErr w:type="spellStart"/>
      <w:r w:rsidRPr="00A4137F">
        <w:rPr>
          <w:rStyle w:val="Emphasis1"/>
          <w:color w:val="FFFFFF" w:themeColor="background1"/>
          <w:sz w:val="32"/>
          <w:szCs w:val="32"/>
        </w:rPr>
        <w:t>AUM</w:t>
      </w:r>
      <w:proofErr w:type="spellEnd"/>
      <w:r w:rsidRPr="00A4137F">
        <w:rPr>
          <w:rStyle w:val="Emphasis1"/>
          <w:color w:val="FFFFFF" w:themeColor="background1"/>
          <w:sz w:val="32"/>
          <w:szCs w:val="32"/>
        </w:rPr>
        <w:t>) model</w:t>
      </w:r>
      <w:r w:rsidR="00CA17EE">
        <w:rPr>
          <w:rStyle w:val="Emphasis1"/>
          <w:color w:val="FFFFFF" w:themeColor="background1"/>
          <w:sz w:val="32"/>
          <w:szCs w:val="32"/>
        </w:rPr>
        <w:t xml:space="preserve"> = lump sum</w:t>
      </w:r>
    </w:p>
    <w:p w14:paraId="1A7539CC" w14:textId="77777777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Heirs want inheritance = lump-sum</w:t>
      </w:r>
    </w:p>
    <w:p w14:paraId="1E371077" w14:textId="77777777" w:rsidR="00B95ABC" w:rsidRPr="00A4137F" w:rsidRDefault="002750B5" w:rsidP="004D5E8E">
      <w:pPr>
        <w:pStyle w:val="IntenseQuote"/>
        <w:numPr>
          <w:ilvl w:val="0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>Certified Public Accountant (CPA)</w:t>
      </w:r>
    </w:p>
    <w:p w14:paraId="417F7867" w14:textId="77777777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Net Present Value (NPV) calculations for annuity</w:t>
      </w:r>
    </w:p>
    <w:p w14:paraId="523AD2B8" w14:textId="77777777" w:rsidR="00B95ABC" w:rsidRPr="00A4137F" w:rsidRDefault="002750B5" w:rsidP="00A4137F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 xml:space="preserve">Tax advice for </w:t>
      </w:r>
      <w:r w:rsidRPr="00A4137F">
        <w:rPr>
          <w:rStyle w:val="Emphasis1"/>
          <w:color w:val="FFFFFF" w:themeColor="background1"/>
          <w:sz w:val="32"/>
          <w:szCs w:val="32"/>
        </w:rPr>
        <w:t>lump-sum</w:t>
      </w:r>
    </w:p>
    <w:p w14:paraId="35B2CBBD" w14:textId="02023FE6" w:rsidR="00B95ABC" w:rsidRPr="00A4137F" w:rsidRDefault="002750B5" w:rsidP="004D5E8E">
      <w:pPr>
        <w:pStyle w:val="IntenseQuote"/>
        <w:numPr>
          <w:ilvl w:val="0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Strong1"/>
          <w:color w:val="FFFFFF" w:themeColor="background1"/>
          <w:sz w:val="32"/>
          <w:szCs w:val="32"/>
        </w:rPr>
        <w:t xml:space="preserve">Fee-only </w:t>
      </w:r>
      <w:r w:rsidR="00CA17EE">
        <w:rPr>
          <w:rStyle w:val="Strong1"/>
          <w:color w:val="FFFFFF" w:themeColor="background1"/>
          <w:sz w:val="32"/>
          <w:szCs w:val="32"/>
        </w:rPr>
        <w:t>Fiduciary-Bound</w:t>
      </w:r>
      <w:r w:rsidRPr="00A4137F">
        <w:rPr>
          <w:rStyle w:val="Strong1"/>
          <w:color w:val="FFFFFF" w:themeColor="background1"/>
          <w:sz w:val="32"/>
          <w:szCs w:val="32"/>
        </w:rPr>
        <w:t xml:space="preserve"> Financial Professional </w:t>
      </w:r>
    </w:p>
    <w:p w14:paraId="273EE4E8" w14:textId="77777777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Holistic fiduciary retirement planning</w:t>
      </w:r>
    </w:p>
    <w:p w14:paraId="32E06A8E" w14:textId="77777777" w:rsidR="00B95ABC" w:rsidRPr="00A4137F" w:rsidRDefault="002750B5" w:rsidP="004D5E8E">
      <w:pPr>
        <w:pStyle w:val="IntenseQuote"/>
        <w:numPr>
          <w:ilvl w:val="1"/>
          <w:numId w:val="7"/>
        </w:numPr>
        <w:spacing w:before="100" w:beforeAutospacing="1" w:after="100" w:afterAutospacing="1"/>
        <w:jc w:val="left"/>
        <w:rPr>
          <w:color w:val="FFFFFF" w:themeColor="background1"/>
          <w:sz w:val="32"/>
          <w:szCs w:val="32"/>
        </w:rPr>
      </w:pPr>
      <w:r w:rsidRPr="00A4137F">
        <w:rPr>
          <w:rStyle w:val="Emphasis1"/>
          <w:color w:val="FFFFFF" w:themeColor="background1"/>
          <w:sz w:val="32"/>
          <w:szCs w:val="32"/>
        </w:rPr>
        <w:t>Fee-only model limits conflicts of interest</w:t>
      </w:r>
    </w:p>
    <w:sectPr w:rsidR="00B95ABC" w:rsidRPr="00A4137F" w:rsidSect="009A7984">
      <w:headerReference w:type="first" r:id="rId18"/>
      <w:pgSz w:w="11906" w:h="16838" w:code="9"/>
      <w:pgMar w:top="1440" w:right="1440" w:bottom="1440" w:left="1440" w:header="720" w:footer="720" w:gutter="0"/>
      <w:pgBorders w:offsetFrom="page">
        <w:top w:val="thickThinSmallGap" w:sz="24" w:space="24" w:color="D0D0D0" w:themeColor="accent2" w:themeTint="99"/>
        <w:left w:val="thickThinSmallGap" w:sz="24" w:space="24" w:color="D0D0D0" w:themeColor="accent2" w:themeTint="99"/>
        <w:bottom w:val="thinThickSmallGap" w:sz="24" w:space="24" w:color="D0D0D0" w:themeColor="accent2" w:themeTint="99"/>
        <w:right w:val="thinThickSmallGap" w:sz="24" w:space="24" w:color="D0D0D0" w:themeColor="accent2" w:themeTint="99"/>
      </w:pgBorders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E0B0" w14:textId="77777777" w:rsidR="002750B5" w:rsidRDefault="002750B5">
      <w:r>
        <w:separator/>
      </w:r>
    </w:p>
  </w:endnote>
  <w:endnote w:type="continuationSeparator" w:id="0">
    <w:p w14:paraId="50076997" w14:textId="77777777" w:rsidR="002750B5" w:rsidRDefault="002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1C33D" w14:textId="77777777" w:rsidR="002750B5" w:rsidRDefault="002750B5">
      <w:r>
        <w:separator/>
      </w:r>
    </w:p>
  </w:footnote>
  <w:footnote w:type="continuationSeparator" w:id="0">
    <w:p w14:paraId="23B63E3E" w14:textId="77777777" w:rsidR="002750B5" w:rsidRDefault="0027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E421" w14:textId="77777777" w:rsidR="0083142B" w:rsidRDefault="002750B5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6935"/>
    <w:multiLevelType w:val="hybridMultilevel"/>
    <w:tmpl w:val="E07A28F6"/>
    <w:lvl w:ilvl="0" w:tplc="BE2AEFA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E4C86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6D0693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14961AB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AFC22884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36EE95A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E028E37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A42A1A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0524864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8044AC7"/>
    <w:multiLevelType w:val="hybridMultilevel"/>
    <w:tmpl w:val="0156A4E4"/>
    <w:lvl w:ilvl="0" w:tplc="F8E8617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09AD20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892561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A4A24528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83EC89A4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7BC7742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ABF2DCF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91A26066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8B745CA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1380134"/>
    <w:multiLevelType w:val="hybridMultilevel"/>
    <w:tmpl w:val="AE44EE64"/>
    <w:lvl w:ilvl="0" w:tplc="1E18C1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9E83F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2FC751E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9C32D01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1CE0287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20DCFDF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A0DC84FA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DC32F6D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8C10ACC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9F06ED8"/>
    <w:multiLevelType w:val="hybridMultilevel"/>
    <w:tmpl w:val="32DC9076"/>
    <w:lvl w:ilvl="0" w:tplc="DBC219F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12EDA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0E8D88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3468022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C7ACFF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D9A2A5FA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5DCF25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7682D39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F68699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A622FFF"/>
    <w:multiLevelType w:val="hybridMultilevel"/>
    <w:tmpl w:val="1F2660AC"/>
    <w:lvl w:ilvl="0" w:tplc="D274277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B552B9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AAE18B2" w:tentative="1">
      <w:start w:val="1"/>
      <w:numFmt w:val="bullet"/>
      <w:lvlText w:val="◦"/>
      <w:lvlJc w:val="left"/>
      <w:pPr>
        <w:ind w:left="1800" w:hanging="360"/>
      </w:pPr>
      <w:rPr>
        <w:rFonts w:ascii="Calibri" w:hAnsi="Calibri" w:hint="default"/>
      </w:rPr>
    </w:lvl>
    <w:lvl w:ilvl="3" w:tplc="E82C67C4" w:tentative="1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</w:rPr>
    </w:lvl>
    <w:lvl w:ilvl="4" w:tplc="38FC6934" w:tentative="1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5" w:tplc="5E86B13C" w:tentative="1">
      <w:start w:val="1"/>
      <w:numFmt w:val="bullet"/>
      <w:lvlText w:val="◦"/>
      <w:lvlJc w:val="left"/>
      <w:pPr>
        <w:ind w:left="3960" w:hanging="360"/>
      </w:pPr>
      <w:rPr>
        <w:rFonts w:ascii="Calibri" w:hAnsi="Calibri" w:hint="default"/>
      </w:rPr>
    </w:lvl>
    <w:lvl w:ilvl="6" w:tplc="E94A3930" w:tentative="1">
      <w:start w:val="1"/>
      <w:numFmt w:val="bullet"/>
      <w:lvlText w:val="•"/>
      <w:lvlJc w:val="left"/>
      <w:pPr>
        <w:ind w:left="4680" w:hanging="360"/>
      </w:pPr>
      <w:rPr>
        <w:rFonts w:ascii="Calibri" w:hAnsi="Calibri" w:hint="default"/>
      </w:rPr>
    </w:lvl>
    <w:lvl w:ilvl="7" w:tplc="43CA1644" w:tentative="1">
      <w:start w:val="1"/>
      <w:numFmt w:val="bullet"/>
      <w:lvlText w:val="-"/>
      <w:lvlJc w:val="left"/>
      <w:pPr>
        <w:ind w:left="5400" w:hanging="360"/>
      </w:pPr>
      <w:rPr>
        <w:rFonts w:ascii="Courier New" w:hAnsi="Courier New" w:hint="default"/>
      </w:rPr>
    </w:lvl>
    <w:lvl w:ilvl="8" w:tplc="998C2AEA" w:tentative="1">
      <w:start w:val="1"/>
      <w:numFmt w:val="bullet"/>
      <w:lvlText w:val="◦"/>
      <w:lvlJc w:val="left"/>
      <w:pPr>
        <w:ind w:left="6120" w:hanging="360"/>
      </w:pPr>
      <w:rPr>
        <w:rFonts w:ascii="Calibri" w:hAnsi="Calibri" w:hint="default"/>
      </w:rPr>
    </w:lvl>
  </w:abstractNum>
  <w:abstractNum w:abstractNumId="5" w15:restartNumberingAfterBreak="0">
    <w:nsid w:val="74287A94"/>
    <w:multiLevelType w:val="hybridMultilevel"/>
    <w:tmpl w:val="94B0C7F0"/>
    <w:lvl w:ilvl="0" w:tplc="80C0A9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FFC6A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480A116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07B63B6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C13C903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9CAE206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B5F885F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B838D8A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FD8CEB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763D5620"/>
    <w:multiLevelType w:val="hybridMultilevel"/>
    <w:tmpl w:val="C92E882E"/>
    <w:lvl w:ilvl="0" w:tplc="5696186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0CA9E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7DC9CC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4F84E5D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CBA789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4BAC5B1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F3A4628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8374877C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8CEB0F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BC"/>
    <w:rsid w:val="000A5543"/>
    <w:rsid w:val="00103AD4"/>
    <w:rsid w:val="002537E2"/>
    <w:rsid w:val="002750B5"/>
    <w:rsid w:val="002F36D2"/>
    <w:rsid w:val="003F6E3B"/>
    <w:rsid w:val="004D5E8E"/>
    <w:rsid w:val="004E2E87"/>
    <w:rsid w:val="0051034E"/>
    <w:rsid w:val="005E1D6C"/>
    <w:rsid w:val="006B7566"/>
    <w:rsid w:val="00765344"/>
    <w:rsid w:val="00775686"/>
    <w:rsid w:val="007843C6"/>
    <w:rsid w:val="007F3C9B"/>
    <w:rsid w:val="00806FCA"/>
    <w:rsid w:val="0083142B"/>
    <w:rsid w:val="00893511"/>
    <w:rsid w:val="009233DB"/>
    <w:rsid w:val="00943141"/>
    <w:rsid w:val="009A7984"/>
    <w:rsid w:val="00A4137F"/>
    <w:rsid w:val="00B177CD"/>
    <w:rsid w:val="00B95ABC"/>
    <w:rsid w:val="00BB4FE6"/>
    <w:rsid w:val="00BE1A78"/>
    <w:rsid w:val="00CA17EE"/>
    <w:rsid w:val="00CB233C"/>
    <w:rsid w:val="00DF7EA8"/>
    <w:rsid w:val="00E32DAC"/>
    <w:rsid w:val="00E42F10"/>
    <w:rsid w:val="00F352A8"/>
    <w:rsid w:val="00F67A87"/>
    <w:rsid w:val="00FB5BA2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B47D9F"/>
  <w15:docId w15:val="{C0DF0EAD-EE1F-4965-92CF-FB1E8F6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B"/>
  </w:style>
  <w:style w:type="paragraph" w:styleId="Heading1">
    <w:name w:val="heading 1"/>
    <w:basedOn w:val="Normal"/>
    <w:next w:val="Normal"/>
    <w:link w:val="Heading1Char"/>
    <w:uiPriority w:val="9"/>
    <w:qFormat/>
    <w:rsid w:val="003F6E3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3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E3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E3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E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E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E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rPr>
      <w:rFonts w:ascii="Calibri Light"/>
      <w:sz w:val="56"/>
    </w:rPr>
  </w:style>
  <w:style w:type="paragraph" w:customStyle="1" w:styleId="Heading10">
    <w:name w:val="Heading1"/>
    <w:basedOn w:val="Normal1"/>
    <w:next w:val="Normal1"/>
    <w:uiPriority w:val="1"/>
    <w:unhideWhenUsed/>
    <w:pPr>
      <w:keepNext/>
      <w:spacing w:before="480" w:after="120"/>
      <w:outlineLvl w:val="0"/>
    </w:pPr>
    <w:rPr>
      <w:rFonts w:ascii="Calibri Light"/>
      <w:color w:val="DDDDDD" w:themeColor="accent1"/>
      <w:sz w:val="32"/>
    </w:rPr>
  </w:style>
  <w:style w:type="paragraph" w:customStyle="1" w:styleId="Heading20">
    <w:name w:val="Heading2"/>
    <w:basedOn w:val="Normal1"/>
    <w:next w:val="Normal1"/>
    <w:uiPriority w:val="1"/>
    <w:unhideWhenUsed/>
    <w:pPr>
      <w:keepNext/>
      <w:spacing w:before="40"/>
      <w:outlineLvl w:val="1"/>
    </w:pPr>
    <w:rPr>
      <w:rFonts w:ascii="Calibri Light"/>
      <w:color w:val="DDDDDD" w:themeColor="accent1"/>
      <w:sz w:val="26"/>
    </w:rPr>
  </w:style>
  <w:style w:type="character" w:customStyle="1" w:styleId="EmphasizeItalicize">
    <w:name w:val="EmphasizeItalicize"/>
    <w:uiPriority w:val="1"/>
    <w:unhideWhenUsed/>
    <w:rPr>
      <w:rFonts w:ascii="Calibri"/>
      <w:b/>
      <w:i/>
    </w:rPr>
  </w:style>
  <w:style w:type="character" w:customStyle="1" w:styleId="Strong1">
    <w:name w:val="Strong1"/>
    <w:uiPriority w:val="1"/>
    <w:unhideWhenUsed/>
    <w:rPr>
      <w:rFonts w:ascii="Calibri"/>
      <w:b/>
    </w:rPr>
  </w:style>
  <w:style w:type="character" w:customStyle="1" w:styleId="Emphasis1">
    <w:name w:val="Emphasis1"/>
    <w:uiPriority w:val="1"/>
    <w:unhideWhenUsed/>
    <w:rPr>
      <w:rFonts w:ascii="Calibri"/>
      <w:i/>
    </w:rPr>
  </w:style>
  <w:style w:type="character" w:customStyle="1" w:styleId="SwayHyperlink">
    <w:name w:val="SwayHyperlink"/>
    <w:uiPriority w:val="1"/>
    <w:unhideWhenUsed/>
    <w:rPr>
      <w:rFonts w:ascii="Calibri"/>
      <w:color w:val="5F5F5F" w:themeColor="hyperlink"/>
      <w:u w:val="single"/>
    </w:rPr>
  </w:style>
  <w:style w:type="character" w:customStyle="1" w:styleId="BoldHyperlink">
    <w:name w:val="BoldHyperlink"/>
    <w:uiPriority w:val="1"/>
    <w:unhideWhenUsed/>
    <w:rPr>
      <w:rFonts w:ascii="Calibri"/>
      <w:b/>
      <w:color w:val="5F5F5F" w:themeColor="hyperlink"/>
      <w:u w:val="single"/>
    </w:rPr>
  </w:style>
  <w:style w:type="character" w:customStyle="1" w:styleId="ItalicHyperlink">
    <w:name w:val="ItalicHyperlink"/>
    <w:uiPriority w:val="1"/>
    <w:unhideWhenUsed/>
    <w:rPr>
      <w:rFonts w:ascii="Calibri"/>
      <w:i/>
      <w:color w:val="5F5F5F" w:themeColor="hyperlink"/>
      <w:u w:val="single"/>
    </w:rPr>
  </w:style>
  <w:style w:type="character" w:customStyle="1" w:styleId="BoldItalicHyperlink">
    <w:name w:val="BoldItalicHyperlink"/>
    <w:uiPriority w:val="1"/>
    <w:unhideWhenUsed/>
    <w:rPr>
      <w:rFonts w:ascii="Calibri"/>
      <w:b/>
      <w:i/>
      <w:color w:val="5F5F5F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pPr>
      <w:spacing w:after="200"/>
      <w:jc w:val="center"/>
    </w:pPr>
    <w:rPr>
      <w:i/>
      <w:color w:val="000000" w:themeColor="text2"/>
      <w:sz w:val="18"/>
    </w:rPr>
  </w:style>
  <w:style w:type="paragraph" w:customStyle="1" w:styleId="FootnoteText">
    <w:name w:val="FootnoteText"/>
    <w:basedOn w:val="Normal1"/>
    <w:next w:val="Normal1"/>
    <w:uiPriority w:val="1"/>
    <w:unhideWhenUsed/>
    <w:rPr>
      <w:sz w:val="20"/>
    </w:rPr>
  </w:style>
  <w:style w:type="paragraph" w:customStyle="1" w:styleId="IntenseQuote">
    <w:name w:val="IntenseQuote"/>
    <w:basedOn w:val="Normal1"/>
    <w:next w:val="Normal1"/>
    <w:uiPriority w:val="1"/>
    <w:unhideWhenUsed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color w:val="DDDDD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F6E3B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F6E3B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E3B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E3B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E3B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E3B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E3B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E3B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E3B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E3B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F6E3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F6E3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E3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6E3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F6E3B"/>
    <w:rPr>
      <w:b/>
      <w:bCs/>
    </w:rPr>
  </w:style>
  <w:style w:type="character" w:styleId="Emphasis">
    <w:name w:val="Emphasis"/>
    <w:basedOn w:val="DefaultParagraphFont"/>
    <w:uiPriority w:val="20"/>
    <w:qFormat/>
    <w:rsid w:val="003F6E3B"/>
    <w:rPr>
      <w:i/>
      <w:iCs/>
      <w:color w:val="4D4D4D" w:themeColor="accent6"/>
    </w:rPr>
  </w:style>
  <w:style w:type="paragraph" w:styleId="NoSpacing">
    <w:name w:val="No Spacing"/>
    <w:uiPriority w:val="1"/>
    <w:qFormat/>
    <w:rsid w:val="003F6E3B"/>
  </w:style>
  <w:style w:type="paragraph" w:styleId="Quote">
    <w:name w:val="Quote"/>
    <w:basedOn w:val="Normal"/>
    <w:next w:val="Normal"/>
    <w:link w:val="QuoteChar"/>
    <w:uiPriority w:val="29"/>
    <w:qFormat/>
    <w:rsid w:val="003F6E3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F6E3B"/>
    <w:rPr>
      <w:i/>
      <w:iCs/>
      <w:color w:val="262626" w:themeColor="text1" w:themeTint="D9"/>
    </w:rPr>
  </w:style>
  <w:style w:type="paragraph" w:styleId="IntenseQuote0">
    <w:name w:val="Intense Quote"/>
    <w:basedOn w:val="Normal"/>
    <w:next w:val="Normal"/>
    <w:link w:val="IntenseQuoteChar"/>
    <w:uiPriority w:val="30"/>
    <w:qFormat/>
    <w:rsid w:val="003F6E3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0"/>
    <w:uiPriority w:val="30"/>
    <w:rsid w:val="003F6E3B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E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6E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E3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F6E3B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3F6E3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E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2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10"/>
  </w:style>
  <w:style w:type="paragraph" w:styleId="Footer">
    <w:name w:val="footer"/>
    <w:basedOn w:val="Normal"/>
    <w:link w:val="FooterChar"/>
    <w:uiPriority w:val="99"/>
    <w:unhideWhenUsed/>
    <w:rsid w:val="00E42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10"/>
  </w:style>
  <w:style w:type="character" w:styleId="Hyperlink">
    <w:name w:val="Hyperlink"/>
    <w:basedOn w:val="DefaultParagraphFont"/>
    <w:uiPriority w:val="99"/>
    <w:unhideWhenUsed/>
    <w:rsid w:val="000A5543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4closurefraud.org/2012/11/21/us-pension-insurer-runs-record-34b-deficit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0B3C-3411-471B-8089-438F5927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420</Words>
  <Characters>2397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2020-04-14T13:32:00Z</dcterms:created>
  <dcterms:modified xsi:type="dcterms:W3CDTF">2020-04-15T16:17:00Z</dcterms:modified>
</cp:coreProperties>
</file>